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武威市西夏博物馆2023年度工作计划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市西夏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博物馆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将继续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坚持以习近平新时代中国特色社会主义思想为指导，认真贯彻党的二十大精神及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省、市、局党组关于文博工作的决策部署和指示精神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，深入学习习近平总书记对文物工作的重要论述，根据年初确定的任务目标，立足实际，认真谋划，牢固树立文物保护传承意识，以积极开拓的工作思路和主动服务的工作理念，切实加强自身建设，全面强化内部管理，加快项目建设，夯实基础业务，不断提升服务水平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努力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取得良好社会效应。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狠抓思想教育，强化责任担当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制定主题教育学习计划，通过召开馆务会、党员大会、支部委员会议、自学等多种形式及时传达习近平总书记重要讲话精神，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学习《习近平著作选读》、《习近平新时代中国特色社会主义思想专题摘编》、《习近平关于调查研究论述摘编》、《习近平新时代中国特色社会主义思想学习纲要》、《二十大精神精要解读》、《中国共产党章程》、《中国共产党党内监督条例》、《论党的自我革命》、《党的二十大报告》、《中国共产党党徽党旗条例》等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认真学习文物保护、文博管理相关法规政策和业务知识。深入学习习近平总书记对文物工作作出的重要指示精神，学习《文物保护法》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《中华人民共和国安全生产法》《中华人民共和国旅游法》</w:t>
      </w:r>
      <w:r>
        <w:rPr>
          <w:rFonts w:hint="eastAsia" w:ascii="Times New Roman" w:hAnsi="Times New Roman" w:eastAsia="仿宋_GB2312"/>
          <w:sz w:val="32"/>
          <w:szCs w:val="32"/>
        </w:rPr>
        <w:t>《文物保护法实施条例》等法律法规和文物业务相关知识，进一步提高做好文化遗产保护工作重要意义的认识，增强指导工作的能力和水平。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Times New Roman" w:hAnsi="Times New Roman" w:eastAsia="仿宋_GB2312"/>
          <w:sz w:val="32"/>
          <w:szCs w:val="32"/>
        </w:rPr>
        <w:t>召开党风廉政建设、党建和</w:t>
      </w:r>
      <w:r>
        <w:rPr>
          <w:rFonts w:hint="default" w:ascii="Times New Roman" w:hAnsi="Times New Roman" w:eastAsia="仿宋_GB2312"/>
          <w:sz w:val="32"/>
          <w:szCs w:val="32"/>
        </w:rPr>
        <w:t>意识形态工作安排部署</w:t>
      </w:r>
      <w:r>
        <w:rPr>
          <w:rFonts w:hint="eastAsia" w:ascii="Times New Roman" w:hAnsi="Times New Roman" w:eastAsia="仿宋_GB2312"/>
          <w:sz w:val="32"/>
          <w:szCs w:val="32"/>
        </w:rPr>
        <w:t>暨学习会议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建立健全纪律教育常态化机制，坚持不懈强化理论武装，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强化思想之基，</w:t>
      </w:r>
      <w:r>
        <w:rPr>
          <w:rFonts w:hint="eastAsia" w:ascii="Times New Roman" w:hAnsi="Times New Roman" w:eastAsia="仿宋_GB2312"/>
          <w:sz w:val="32"/>
          <w:szCs w:val="32"/>
        </w:rPr>
        <w:t>补足精神之钙，筑牢理想之魂，坚持不懈地抓学习，做到学思用贯通、知信行统一，切实增强“四个意识”、坚定“四个自信”、做到“两个维护”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多措并举助推博物馆免费开放。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在继续完善《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西夏博物馆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免费开放服务工作方案》的同时，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强固人才立馆理念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加大对全馆工作人员专业知识和工作技能的培训，进一步强化工作人员的敬业精神、服务意识和创新意识。通过定期开展讲解员业务能力培训和考核工作，以提高讲解员的业务服务水平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，培养和造就一批规模适当、具备较强工作能力和较高职业素养的人才队伍。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更新工作思路，创新服务理念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树立博物馆品牌，多举办精品展览。按照“贴近实际、贴近生活、贴近观众”的原则，以群众“喜闻乐见”、“雅俗共赏”的形式，不断推出多层次、多方面、多样式的高水平、高质量展览来满足群众的精神文化需求，为其提供主动的、优质的、人性化的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积极开展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研学、社教、“四进”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在5.18国际博物馆日、“中国文化遗产日”、“五·一”、“国庆”假期等重要节日开展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《孔子圣迹图》趣味拼图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、制作花灯等社教活动；本地区各中小学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合作开展“流动展览进校园”“精品课程进课堂”活动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馆校合作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深化馆际交流，加强文物资源的整合利用，积极与其他博物馆开展交流合作，引进和借鉴其他博物馆的优势资源，同时借助媒体力量大力促进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市西夏博物馆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博物馆的文化辐射力和美誉影响力的提升。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default" w:ascii="仿宋_GB2312" w:hAnsi="仿宋_GB2312" w:eastAsia="仿宋_GB2312" w:cs="仿宋_GB2312"/>
          <w:sz w:val="32"/>
          <w:szCs w:val="32"/>
        </w:rPr>
        <w:t>丰富宣传教育手段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充分利用各种线上新媒介和线下教育活动，通过“引进来和走出去”，让文物活起来。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2023年，市西夏博物馆将计划通过官方网站、微信公众平台、抖音、快手等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新媒体账号</w:t>
      </w:r>
      <w:r>
        <w:rPr>
          <w:rFonts w:ascii="Times New Roman" w:hAnsi="Times New Roman" w:eastAsia="仿宋_GB2312"/>
          <w:sz w:val="32"/>
          <w:szCs w:val="32"/>
          <w:highlight w:val="none"/>
        </w:rPr>
        <w:t>推送各类图文信息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视频共200</w:t>
      </w:r>
      <w:r>
        <w:rPr>
          <w:rFonts w:ascii="Times New Roman" w:hAnsi="Times New Roman" w:eastAsia="仿宋_GB2312"/>
          <w:sz w:val="32"/>
          <w:szCs w:val="32"/>
          <w:highlight w:val="none"/>
        </w:rPr>
        <w:t>篇（次）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在做好宣传教育的同时，利用媒体，在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中国新闻、武威市人民政府</w:t>
      </w:r>
      <w:r>
        <w:rPr>
          <w:rFonts w:hint="default"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、市文体广电旅游局微信公众平台等</w:t>
      </w:r>
      <w:r>
        <w:rPr>
          <w:rFonts w:hint="default" w:ascii="仿宋_GB2312" w:hAnsi="仿宋_GB2312" w:eastAsia="仿宋_GB2312" w:cs="仿宋_GB2312"/>
          <w:sz w:val="32"/>
          <w:szCs w:val="32"/>
        </w:rPr>
        <w:t>及时报道文博活动新动态，全方位、多角度向外界展示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市西夏博物馆</w:t>
      </w:r>
      <w:r>
        <w:rPr>
          <w:rFonts w:hint="default" w:ascii="仿宋_GB2312" w:hAnsi="仿宋_GB2312" w:eastAsia="仿宋_GB2312" w:cs="仿宋_GB2312"/>
          <w:sz w:val="32"/>
          <w:szCs w:val="32"/>
        </w:rPr>
        <w:t>丰厚的历史文化底蕴，以最大限度提升博物馆线上文化传播的可及性、有效性和共享性。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全面加强文物安全保护工作。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3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加强制度建设，完善应急预案。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根据文物保护工作中的问题和不足，根据文物安全主管部门要求和自身实际，进一步完善《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武威市西夏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博物馆消防安全应急预案》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制定《武威市西夏博物馆岁末年初安全生产重大隐患专项整治方案》《重大事故隐患专项排查整治2023行动实施方案》《武威市西夏博物馆2023年安全生产工作方案》等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，确保在重大安全事故面前人人心中有数、有条不紊科学处理险情。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不定期邀请市消防救援大队对我馆消防安全工作进行检查指导，并对全体职工进行消防知识、应急措施和消防演练培训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组织开展安全生产大检查，重点进行安全风险隐患排查、安防设施器材检查和抗旱防汛工作督查，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进一步增强全体职工消防安全意识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定期召开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安全生产工作部署会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，认真传达落实相关文件精神，落实文物安全保护实施方案，实行逐级安全责任制，使文物保护管理更加规范化和制度化，切实加强安全保卫工作。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持人防第一的原则，逐步建立人防、物防、技防三位一体的安全防范体系，做到人员到位、职责到位、督查到位、工作到位，坚持一把手总体抓，分管领导具体抓，落实人员专门抓，责任到人，严格执行24小时值班不离人、不间断，持续对博物馆及附近区域监控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2023年市西夏博物馆将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结合实际，扎实做好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会议精神的贯彻落实，切实把工作落实落细，为谋划好年度目标任务，顺利做好开局各项工作打好坚实基础，提供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坚实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555555"/>
          <w:spacing w:val="0"/>
          <w:sz w:val="44"/>
          <w:szCs w:val="44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82FE9"/>
    <w:multiLevelType w:val="singleLevel"/>
    <w:tmpl w:val="37182F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6B5F"/>
    <w:rsid w:val="6A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2024-02-05T05:14:00Z</dcterms:created>
  <dc:creator> Distance</dc:creator>
  <cp:lastModifiedBy> Distance</cp:lastModifiedBy>
  <dcterms:modified xsi:type="dcterms:W3CDTF">2024-02-05T05:14:13Z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